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Kyra Wilson-Houck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Lectern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Human-to-Tools/Face-to-Face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>The Lectern stands between the presenter and the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audience. It can be a barrier, a comfort object, a status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symbol or merely a place to store electronics. It is a tool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that enhances the relationship between the audience and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presenter but is often overlooked. This lecturn focuses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on the hierarchy of the room and embraces it through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materiality and form exploration. This lecturn encourages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presenter to move around, keeping the audience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involved while relaxing the presenter. As an object designed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specifically for Herman Miller in mind, the fiberglass shell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pays homage to the material language explored by Ray and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Charles Eames.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